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A0345" w:rsidRPr="000A222C" w:rsidRDefault="00BA0345" w:rsidP="00BA0345">
      <w:pPr>
        <w:spacing w:line="240" w:lineRule="auto"/>
        <w:jc w:val="center"/>
        <w:rPr>
          <w:rFonts w:ascii="Times New Roman" w:hAnsi="Times New Roman"/>
          <w:b/>
          <w:sz w:val="23"/>
          <w:szCs w:val="23"/>
          <w:lang w:val="ro-RO"/>
        </w:rPr>
      </w:pPr>
      <w:r w:rsidRPr="000A222C">
        <w:rPr>
          <w:rFonts w:ascii="Times New Roman" w:hAnsi="Times New Roman"/>
          <w:b/>
          <w:sz w:val="23"/>
          <w:szCs w:val="23"/>
          <w:lang w:val="en-US"/>
        </w:rPr>
        <w:t>NOTA INFORMATIV</w:t>
      </w:r>
      <w:r w:rsidRPr="000A222C">
        <w:rPr>
          <w:rFonts w:ascii="Times New Roman" w:hAnsi="Times New Roman"/>
          <w:b/>
          <w:sz w:val="23"/>
          <w:szCs w:val="23"/>
          <w:lang w:val="ro-RO"/>
        </w:rPr>
        <w:t>Ă</w:t>
      </w:r>
    </w:p>
    <w:p w:rsidR="0084201D" w:rsidRPr="0084201D" w:rsidRDefault="0084201D" w:rsidP="0084201D">
      <w:pPr>
        <w:ind w:left="432"/>
        <w:jc w:val="center"/>
        <w:rPr>
          <w:rFonts w:ascii="Times New Roman" w:hAnsi="Times New Roman"/>
          <w:i/>
          <w:sz w:val="24"/>
          <w:szCs w:val="24"/>
          <w:lang w:val="ro-RO"/>
        </w:rPr>
      </w:pPr>
      <w:bookmarkStart w:id="0" w:name="_Hlk169525612"/>
      <w:r w:rsidRPr="0084201D">
        <w:rPr>
          <w:rFonts w:ascii="Times New Roman" w:hAnsi="Times New Roman"/>
          <w:i/>
          <w:sz w:val="24"/>
          <w:szCs w:val="24"/>
          <w:lang w:val="ro-RO"/>
        </w:rPr>
        <w:t>Cu privire la acceptarea primirii bunurilor imobile amplasate în municipiul Ungheni din proprietate de stat în proprietatea raionului Ungheni și declararea priorității dezvoltării unui centru sportiv regional de caiac-canoe în incinta bunurilor date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9571"/>
      </w:tblGrid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bookmarkEnd w:id="0"/>
          <w:p w:rsidR="00553784" w:rsidRPr="002C286C" w:rsidRDefault="00553784" w:rsidP="002C2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ro-RO"/>
              </w:rPr>
            </w:pPr>
            <w:r w:rsidRPr="002C286C">
              <w:rPr>
                <w:rFonts w:ascii="Times New Roman" w:hAnsi="Times New Roman"/>
                <w:b/>
                <w:sz w:val="23"/>
                <w:szCs w:val="23"/>
                <w:lang w:val="ro-RO"/>
              </w:rPr>
              <w:t>Denumirea autorului și, după caz, a participanților la elaborarea proiectului</w:t>
            </w:r>
          </w:p>
        </w:tc>
      </w:tr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784" w:rsidRPr="002C286C" w:rsidRDefault="00553784" w:rsidP="002C286C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    Proiectul Deciziei </w:t>
            </w:r>
            <w:r w:rsidR="00DA141A" w:rsidRPr="00DA14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cu privire </w:t>
            </w:r>
            <w:r w:rsidR="00EF33A0" w:rsidRPr="0084201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la acceptarea primirii bunurilor imobile amplasate în municipiul Ungheni din proprietate de stat în proprietatea raionului Ungheni și declararea priorității dezvoltării unui centru sportiv regional de caiac-canoe în incinta bunurilor date</w:t>
            </w:r>
            <w:r w:rsidR="00DA141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  <w:t xml:space="preserve"> </w:t>
            </w: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este elaborat de către </w:t>
            </w:r>
            <w:r w:rsidR="001662B2" w:rsidRPr="002C286C">
              <w:rPr>
                <w:rFonts w:ascii="Times New Roman" w:hAnsi="Times New Roman"/>
                <w:sz w:val="23"/>
                <w:szCs w:val="23"/>
                <w:lang w:val="ro-RO"/>
              </w:rPr>
              <w:t>Serviciul Relații Funciare și Cadastru cu participarea Secției Juridice și Resurse Umane</w:t>
            </w: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>.</w:t>
            </w:r>
          </w:p>
        </w:tc>
      </w:tr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53784" w:rsidRPr="002C286C" w:rsidRDefault="00553784" w:rsidP="002C2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ro-RO"/>
              </w:rPr>
            </w:pPr>
            <w:r w:rsidRPr="002C286C">
              <w:rPr>
                <w:rFonts w:ascii="Times New Roman" w:hAnsi="Times New Roman"/>
                <w:b/>
                <w:sz w:val="23"/>
                <w:szCs w:val="23"/>
                <w:lang w:val="ro-RO"/>
              </w:rPr>
              <w:t xml:space="preserve">Condițiile ce au impus elaborarea proiectului </w:t>
            </w:r>
          </w:p>
        </w:tc>
      </w:tr>
      <w:tr w:rsidR="00553784" w:rsidRPr="00DA141A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784" w:rsidRPr="00DA141A" w:rsidRDefault="00553784" w:rsidP="002C28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    </w:t>
            </w:r>
            <w:r w:rsidRPr="00DA14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Proiectul Deciziei </w:t>
            </w:r>
            <w:r w:rsidR="00DA141A" w:rsidRPr="00DA14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cu privire </w:t>
            </w:r>
            <w:r w:rsidR="00EF33A0" w:rsidRPr="0084201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la acceptarea primirii bunurilor imobile amplasate în municipiul Ungheni din proprietate de stat în proprietatea raionului Ungheni și declararea priorității dezvoltării unui centru sportiv regional de caiac-canoe în incinta bunurilor date</w:t>
            </w:r>
            <w:r w:rsidR="00EF33A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DA14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este elaborat în </w:t>
            </w:r>
            <w:r w:rsidR="001662B2" w:rsidRPr="00DA14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baza </w:t>
            </w:r>
            <w:r w:rsidR="00EF33A0">
              <w:rPr>
                <w:rFonts w:ascii="Times New Roman" w:hAnsi="Times New Roman"/>
                <w:sz w:val="24"/>
                <w:szCs w:val="24"/>
                <w:lang w:val="ro-RO"/>
              </w:rPr>
              <w:t>inițiativei Președintelui Raionului Ungheni de dezvoltare a unui centru sportiv regional</w:t>
            </w:r>
            <w:r w:rsidR="001662B2" w:rsidRPr="00DA14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="00EF33A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argumentării necesității 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 xml:space="preserve">primirii bunurilor imobile proprietate de stat și </w:t>
            </w:r>
            <w:r w:rsidR="00EF33A0">
              <w:rPr>
                <w:rFonts w:ascii="Times New Roman" w:hAnsi="Times New Roman"/>
                <w:sz w:val="24"/>
                <w:szCs w:val="24"/>
              </w:rPr>
              <w:t>declarării</w:t>
            </w:r>
            <w:r w:rsidR="00EF33A0" w:rsidRPr="00EF33A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 prioritate a raionului Ungheni dezvoltarea centrului sportiv regional de caiac-canoe</w:t>
            </w:r>
            <w:r w:rsidR="00DA141A" w:rsidRPr="00EF33A0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DA141A" w:rsidRPr="00DA141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EF33A0">
              <w:rPr>
                <w:rFonts w:ascii="Times New Roman" w:hAnsi="Times New Roman"/>
                <w:sz w:val="24"/>
                <w:szCs w:val="24"/>
                <w:lang w:val="ro-RO"/>
              </w:rPr>
              <w:t>răspunsul</w:t>
            </w:r>
            <w:r w:rsidR="00DA141A" w:rsidRPr="00DA14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>Ministerului Educației și Cercetării al Republicii Moldova nr. 08/5-09/2147 din 03.04.2024</w:t>
            </w:r>
            <w:r w:rsidR="00EF33A0" w:rsidRPr="00EF3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>privind susținere inițiativei Președintelui raionului Ungheni de dezvoltare a unui centru sportiv regional în incinta imobilului amplasat în municipiul Ungheni, strada Iași, 48 (</w:t>
            </w:r>
            <w:r w:rsidR="00EF33A0" w:rsidRPr="00EF33A0">
              <w:rPr>
                <w:rFonts w:ascii="Times New Roman" w:hAnsi="Times New Roman"/>
                <w:i/>
                <w:iCs/>
                <w:sz w:val="24"/>
                <w:szCs w:val="24"/>
              </w:rPr>
              <w:t>clădirea fostului club al Căilor Ferate Ungheni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>), precum și suportul ministerului la dezvoltarea proiectului</w:t>
            </w:r>
            <w:r w:rsidR="00EF33A0" w:rsidRPr="00EF3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>da</w:t>
            </w:r>
            <w:r w:rsidR="00EF33A0" w:rsidRPr="00EF33A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t, răspunsul 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>Agenției Proprietății Publice nr. 06-04-2049 din 28.03.2024</w:t>
            </w:r>
            <w:r w:rsidR="00EF33A0" w:rsidRPr="00EF3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A0" w:rsidRPr="00EF33A0">
              <w:rPr>
                <w:rFonts w:ascii="Times New Roman" w:hAnsi="Times New Roman"/>
                <w:sz w:val="24"/>
                <w:szCs w:val="24"/>
              </w:rPr>
              <w:t>cu privire la pașii necesari de urmat pentru transmiterea bunurilor proprietate de stat</w:t>
            </w:r>
            <w:r w:rsidRPr="00EF33A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53784" w:rsidRPr="002C286C" w:rsidRDefault="00553784" w:rsidP="002C2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ro-RO"/>
              </w:rPr>
            </w:pPr>
            <w:r w:rsidRPr="002C286C">
              <w:rPr>
                <w:rFonts w:ascii="Times New Roman" w:hAnsi="Times New Roman"/>
                <w:b/>
                <w:sz w:val="23"/>
                <w:szCs w:val="23"/>
                <w:lang w:val="ro-RO"/>
              </w:rPr>
              <w:t>Expunerea situației și a problemelor abordate prin prisma cadrului normativ</w:t>
            </w:r>
          </w:p>
        </w:tc>
      </w:tr>
      <w:tr w:rsidR="00553784" w:rsidRPr="009557DD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A0" w:rsidRPr="00041EC6" w:rsidRDefault="00E871B9" w:rsidP="00041EC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Pe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strada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Iași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nr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. 48,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din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municipiul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Ungheni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amplasată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clădirea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fostului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club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Căilor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Ferate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Ungheni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suprafață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512,28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m.p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pe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un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teren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2753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m.p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Această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clădire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bine de 15-20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ani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nu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utilizată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conform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destinației,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iar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timpul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riscă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să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fie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imposibil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exploatat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datorită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uzurii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ca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efect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33A0" w:rsidRPr="00041EC6">
              <w:rPr>
                <w:rFonts w:ascii="Times New Roman" w:hAnsi="Times New Roman"/>
                <w:sz w:val="24"/>
                <w:szCs w:val="24"/>
              </w:rPr>
              <w:t>neutilizării</w:t>
            </w:r>
            <w:proofErr w:type="spellEnd"/>
            <w:r w:rsidR="00EF33A0" w:rsidRPr="00041E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3A0" w:rsidRPr="00041EC6" w:rsidRDefault="00EF33A0" w:rsidP="00041EC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EC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La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06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martie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2024,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la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inițiativa Președintelui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raionului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Ungheni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comisie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formată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din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reprezentanții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Parlamentului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RM, reprezentanții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Guvernului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din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teritoriu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și reprezentanții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Ministerului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Educației și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Cercetării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RM,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inspectat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edificiul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ajuns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la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concluzia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imobilul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necesită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fi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reabilitat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adaptat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un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centru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sportiv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Totodată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factorii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decizie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ale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autorităților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statului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asigurat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conducerea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raionului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susținere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deplină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parcursul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transmiterii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imobilului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din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proprietate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stat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proprietatea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raionului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dezvoltării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unui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astfel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</w:rPr>
              <w:t>centru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3A0" w:rsidRPr="00041EC6" w:rsidRDefault="00EF33A0" w:rsidP="00041EC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Clădirea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dată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află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o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distanță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25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metri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malul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lacului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Delia,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fapt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permite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utilizarea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ansamblu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bazinul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dat. La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fel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planul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încăperilor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clădirii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menționate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permite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adaptarea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acesteia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un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sportiv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minime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implicări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constructivă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Distanța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redusă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până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lac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este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perfect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potrivită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amenajarea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accesului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spre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bazinul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acvatic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organizarea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transportării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inventarului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sportiv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zona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depozitare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până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apă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Terenul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adiacent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clădirii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este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fel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potrivit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sistematizat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zone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recreere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zone de fitness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aer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liber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EF33A0" w:rsidRPr="00041EC6" w:rsidRDefault="00EF33A0" w:rsidP="00041EC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examinare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către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specialiști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gram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edificiului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terenului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amplasarea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acestora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față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bazinul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acvatic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infrastructură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s-a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constatat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că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acest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obiectiv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reconstruit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modernizat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dezvoltat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 un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sportiv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modern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model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caiac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-canoe de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nivel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regional </w:t>
            </w:r>
            <w:proofErr w:type="spellStart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national.</w:t>
            </w:r>
          </w:p>
          <w:p w:rsidR="00041EC6" w:rsidRPr="00041EC6" w:rsidRDefault="00041EC6" w:rsidP="00041EC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Urmare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demersului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nr. 91-02/1-17 din 18.03.2024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expediat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către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Consiliul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Raional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Ungheni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adresa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Guvernului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Republicii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entitățile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publice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vizate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cu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privire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solicitarea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atribuirii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publică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statului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gestiunea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Î.S</w:t>
            </w:r>
            <w:proofErr w:type="gram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. ”</w:t>
            </w:r>
            <w:proofErr w:type="spellStart"/>
            <w:proofErr w:type="gram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Calea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ferată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Moldova”)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raional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Ungheni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construcției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9201108.081.01 (</w:t>
            </w:r>
            <w:proofErr w:type="spellStart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clădirea</w:t>
            </w:r>
            <w:proofErr w:type="spellEnd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fostului</w:t>
            </w:r>
            <w:proofErr w:type="spellEnd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club al </w:t>
            </w:r>
            <w:proofErr w:type="spellStart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Căilor</w:t>
            </w:r>
            <w:proofErr w:type="spellEnd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Ferate</w:t>
            </w:r>
            <w:proofErr w:type="spellEnd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Ungheni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amplasată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municipiul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Ungheni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strada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Iași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48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terenul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aferent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 nr. cadastral 92101108.081,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Ministerul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Educației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Cercetării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Republicii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Moldova,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răspunsul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nr. 08/5-09/2147 din 03.04.2024, 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comunicat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susținere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inițiativei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Consiliului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Raional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dezvoltare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unui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centru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sportiv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regional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incinta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imobilului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susmenționat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precum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suportul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ministerului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dezvoltarea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proiectului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dat.</w:t>
            </w:r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răspunsul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nr. 06-04-2049 din 28.03.2024,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Agenția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Proprietății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Publice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comunicat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elaborarea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promovarea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modul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stabilit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proiectului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hotărârii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Guvern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privire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transmiterea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unor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bunuri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proprietate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stat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raionului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Ungheni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poate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avea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loc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doar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după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delimitarea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bunurilor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după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apartenență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acordul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local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privind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acceptarea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primirii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bunurilor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prezentarea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argumentelor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vederea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necesității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transmiterii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bunurilor</w:t>
            </w:r>
            <w:proofErr w:type="spellEnd"/>
            <w:r w:rsidR="00F43B64" w:rsidRPr="00041EC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AB3F03" w:rsidRPr="00B25D82" w:rsidRDefault="00AB3F03" w:rsidP="00041EC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041EC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  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Având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la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bază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cele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expuse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supra, se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propune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spre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aprobare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proiectul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deciziei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privind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041EC6" w:rsidRPr="00B25D8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acceptarea primirii bunurilor imobile </w:t>
            </w:r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din </w:t>
            </w:r>
            <w:r w:rsidR="00B25D82" w:rsidRPr="00B25D8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proprietate de stat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gestiunea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Î.S. ”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Calea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ferată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Moldova”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raional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Ungheni</w:t>
            </w:r>
            <w:proofErr w:type="spellEnd"/>
            <w:r w:rsidR="00B25D82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construcți</w:t>
            </w:r>
            <w:r w:rsidR="00B25D8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9201108.081.01 (</w:t>
            </w:r>
            <w:proofErr w:type="spellStart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clădirea</w:t>
            </w:r>
            <w:proofErr w:type="spellEnd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fostului</w:t>
            </w:r>
            <w:proofErr w:type="spellEnd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club al </w:t>
            </w:r>
            <w:proofErr w:type="spellStart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Căilor</w:t>
            </w:r>
            <w:proofErr w:type="spellEnd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Ferate</w:t>
            </w:r>
            <w:proofErr w:type="spellEnd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Ungheni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amplasată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municipiul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Ungheni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strada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Iași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48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terenul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aferent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 nr. cadastral 92101108.081</w:t>
            </w:r>
            <w:r w:rsid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41EC6" w:rsidRPr="00B25D8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și declararea priorității dezvoltării unui centru sportiv regional de caiac-canoe în incinta bunurilor date</w:t>
            </w:r>
            <w:r w:rsidR="00D86181" w:rsidRPr="00B25D82">
              <w:rPr>
                <w:rFonts w:ascii="Times New Roman" w:hAnsi="Times New Roman"/>
                <w:sz w:val="24"/>
                <w:szCs w:val="24"/>
                <w:lang w:val="ro-RO"/>
              </w:rPr>
              <w:t>, ținând cont de prevederile legale.</w:t>
            </w:r>
          </w:p>
        </w:tc>
      </w:tr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53784" w:rsidRPr="002C286C" w:rsidRDefault="00553784" w:rsidP="002C2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ro-RO"/>
              </w:rPr>
            </w:pPr>
            <w:r w:rsidRPr="002C286C">
              <w:rPr>
                <w:rFonts w:ascii="Times New Roman" w:hAnsi="Times New Roman"/>
                <w:b/>
                <w:sz w:val="23"/>
                <w:szCs w:val="23"/>
                <w:lang w:val="ro-RO"/>
              </w:rPr>
              <w:lastRenderedPageBreak/>
              <w:t>Încadrarea proiectului în actele normative și respectarea legislației</w:t>
            </w:r>
          </w:p>
        </w:tc>
      </w:tr>
      <w:tr w:rsidR="00553784" w:rsidRPr="009557DD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784" w:rsidRPr="00041EC6" w:rsidRDefault="00553784" w:rsidP="002C28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      </w:t>
            </w:r>
            <w:r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Proiectul Deciziei este elaborat în conformitate cu </w:t>
            </w:r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art. 3 alin (2), art. 7, art. 8 alin. (3), art. 43 alin (1) lit. p), s), v) din </w:t>
            </w:r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Legea privind administraţia publică locală nr. 436-XVI din 25.12.2006; art. 4 alin (2) lit. h) din Legea privind </w:t>
            </w:r>
            <w:proofErr w:type="spellStart"/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>privind</w:t>
            </w:r>
            <w:proofErr w:type="spellEnd"/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descentralizarea administrativă nr. 435 din 28.12.2006; art. 14 alin. (1) </w:t>
            </w:r>
            <w:proofErr w:type="spellStart"/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>lit.b</w:t>
            </w:r>
            <w:proofErr w:type="spellEnd"/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>), alin (3), alin (7)</w:t>
            </w:r>
            <w:r w:rsidR="00041EC6" w:rsidRPr="00041EC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din Legea privind administrarea și </w:t>
            </w:r>
            <w:proofErr w:type="spellStart"/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>deetatizarea</w:t>
            </w:r>
            <w:proofErr w:type="spellEnd"/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proprietății publice nr. 121 din 04.05.2007; </w:t>
            </w:r>
            <w:proofErr w:type="spellStart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Legii</w:t>
            </w:r>
            <w:proofErr w:type="spellEnd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cu </w:t>
            </w:r>
            <w:proofErr w:type="spellStart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privire</w:t>
            </w:r>
            <w:proofErr w:type="spellEnd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proprietate</w:t>
            </w:r>
            <w:proofErr w:type="spellEnd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publică</w:t>
            </w:r>
            <w:proofErr w:type="spellEnd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unităților</w:t>
            </w:r>
            <w:proofErr w:type="spellEnd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administrativ-teritoriale</w:t>
            </w:r>
            <w:proofErr w:type="spellEnd"/>
            <w:r w:rsidR="00041EC6" w:rsidRPr="00041EC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nr. 523 din 16.07.1999;</w:t>
            </w:r>
            <w:r w:rsidR="00041EC6" w:rsidRPr="00041EC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041EC6"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Regulamentului cu privire la modul de transmitere a bunurilor proprietate publică, aprobat prin </w:t>
            </w:r>
            <w:r w:rsidR="00041EC6" w:rsidRPr="00955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Hotărârea Guvernului nr. 901 din 31.12.2015</w:t>
            </w:r>
            <w:r w:rsidRPr="00955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astfel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transmiterea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bunuri</w:t>
            </w:r>
            <w:r w:rsidR="00B25D82">
              <w:rPr>
                <w:rFonts w:ascii="Times New Roman" w:hAnsi="Times New Roman"/>
                <w:sz w:val="24"/>
                <w:szCs w:val="24"/>
                <w:lang w:val="en-US"/>
              </w:rPr>
              <w:t>lor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proprietate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stat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25D82">
              <w:rPr>
                <w:rFonts w:ascii="Times New Roman" w:hAnsi="Times New Roman"/>
                <w:sz w:val="24"/>
                <w:szCs w:val="24"/>
                <w:lang w:val="en-US"/>
              </w:rPr>
              <w:t>UAT</w:t>
            </w:r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poate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avea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loc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doar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25D82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acordul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local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privind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acceptarea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primirii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bunurilor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prezentarea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argumentelor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vederea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necesității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transmiterii</w:t>
            </w:r>
            <w:proofErr w:type="spellEnd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5D82" w:rsidRPr="00B25D82">
              <w:rPr>
                <w:rFonts w:ascii="Times New Roman" w:hAnsi="Times New Roman"/>
                <w:sz w:val="24"/>
                <w:szCs w:val="24"/>
                <w:lang w:val="en-US"/>
              </w:rPr>
              <w:t>bunurilor</w:t>
            </w:r>
            <w:proofErr w:type="spellEnd"/>
            <w:r w:rsidRPr="00955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 </w:t>
            </w:r>
          </w:p>
        </w:tc>
      </w:tr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53784" w:rsidRPr="002C286C" w:rsidRDefault="00553784" w:rsidP="002C2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ro-RO"/>
              </w:rPr>
            </w:pPr>
            <w:r w:rsidRPr="002C286C">
              <w:rPr>
                <w:rFonts w:ascii="Times New Roman" w:hAnsi="Times New Roman"/>
                <w:b/>
                <w:sz w:val="23"/>
                <w:szCs w:val="23"/>
                <w:lang w:val="ro-RO"/>
              </w:rPr>
              <w:t>Concluzii și rezultatele finale</w:t>
            </w:r>
          </w:p>
        </w:tc>
      </w:tr>
      <w:tr w:rsidR="00553784" w:rsidRPr="002C286C" w:rsidTr="002C28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784" w:rsidRPr="002C286C" w:rsidRDefault="00553784" w:rsidP="002C28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  <w:lang w:val="ro-RO"/>
              </w:rPr>
            </w:pP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      Proiectul Deciziei este propus pentru aprobare către Consiliului </w:t>
            </w:r>
            <w:r w:rsidR="002C286C" w:rsidRPr="002C286C">
              <w:rPr>
                <w:rFonts w:ascii="Times New Roman" w:hAnsi="Times New Roman"/>
                <w:sz w:val="23"/>
                <w:szCs w:val="23"/>
                <w:lang w:val="ro-RO"/>
              </w:rPr>
              <w:t>raional</w:t>
            </w: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Ungheni </w:t>
            </w:r>
            <w:r w:rsidR="00B25D82"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în scopul </w:t>
            </w:r>
            <w:r w:rsidR="00B25D82">
              <w:rPr>
                <w:rFonts w:ascii="Times New Roman" w:hAnsi="Times New Roman"/>
                <w:sz w:val="23"/>
                <w:szCs w:val="23"/>
                <w:lang w:val="ro-RO"/>
              </w:rPr>
              <w:t>pregătirii proiectului hotărârii de Guvern privind transmiterea bunurilor</w:t>
            </w: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, </w:t>
            </w:r>
            <w:r w:rsidR="002C286C" w:rsidRPr="002C286C">
              <w:rPr>
                <w:rFonts w:ascii="Times New Roman" w:hAnsi="Times New Roman"/>
                <w:sz w:val="23"/>
                <w:szCs w:val="23"/>
                <w:lang w:val="ro-RO"/>
              </w:rPr>
              <w:t>nu afectează</w:t>
            </w: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interes</w:t>
            </w:r>
            <w:r w:rsidR="002C286C" w:rsidRPr="002C286C">
              <w:rPr>
                <w:rFonts w:ascii="Times New Roman" w:hAnsi="Times New Roman"/>
                <w:sz w:val="23"/>
                <w:szCs w:val="23"/>
                <w:lang w:val="ro-RO"/>
              </w:rPr>
              <w:t>ul</w:t>
            </w: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public și nu conține factori și riscuri de corupție.   </w:t>
            </w:r>
            <w:r w:rsidRPr="002C286C">
              <w:rPr>
                <w:rFonts w:ascii="Times New Roman" w:hAnsi="Times New Roman"/>
                <w:bCs/>
                <w:sz w:val="23"/>
                <w:szCs w:val="23"/>
              </w:rPr>
              <w:t xml:space="preserve">    </w:t>
            </w:r>
          </w:p>
        </w:tc>
      </w:tr>
    </w:tbl>
    <w:p w:rsidR="00553784" w:rsidRDefault="00553784" w:rsidP="0078306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sectPr w:rsidR="00553784" w:rsidSect="00C621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130" w:rsidRDefault="00074130" w:rsidP="00A630AC">
      <w:pPr>
        <w:spacing w:after="0" w:line="240" w:lineRule="auto"/>
      </w:pPr>
      <w:r>
        <w:separator/>
      </w:r>
    </w:p>
  </w:endnote>
  <w:endnote w:type="continuationSeparator" w:id="0">
    <w:p w:rsidR="00074130" w:rsidRDefault="00074130" w:rsidP="00A6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130" w:rsidRDefault="00074130" w:rsidP="00A630AC">
      <w:pPr>
        <w:spacing w:after="0" w:line="240" w:lineRule="auto"/>
      </w:pPr>
      <w:r>
        <w:separator/>
      </w:r>
    </w:p>
  </w:footnote>
  <w:footnote w:type="continuationSeparator" w:id="0">
    <w:p w:rsidR="00074130" w:rsidRDefault="00074130" w:rsidP="00A63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E1D86"/>
    <w:multiLevelType w:val="hybridMultilevel"/>
    <w:tmpl w:val="8808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C54BD"/>
    <w:multiLevelType w:val="hybridMultilevel"/>
    <w:tmpl w:val="5E1A74A8"/>
    <w:lvl w:ilvl="0" w:tplc="3A60D48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D9716F9"/>
    <w:multiLevelType w:val="hybridMultilevel"/>
    <w:tmpl w:val="3612D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745B0"/>
    <w:multiLevelType w:val="hybridMultilevel"/>
    <w:tmpl w:val="1DF4636C"/>
    <w:lvl w:ilvl="0" w:tplc="9CD03D6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62B75238"/>
    <w:multiLevelType w:val="hybridMultilevel"/>
    <w:tmpl w:val="7D5E059E"/>
    <w:lvl w:ilvl="0" w:tplc="629090E8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60E"/>
    <w:rsid w:val="00006556"/>
    <w:rsid w:val="00041EC6"/>
    <w:rsid w:val="00043862"/>
    <w:rsid w:val="00045132"/>
    <w:rsid w:val="00063924"/>
    <w:rsid w:val="00063A5F"/>
    <w:rsid w:val="00074130"/>
    <w:rsid w:val="00075B11"/>
    <w:rsid w:val="00081577"/>
    <w:rsid w:val="00086254"/>
    <w:rsid w:val="000A222C"/>
    <w:rsid w:val="000B307A"/>
    <w:rsid w:val="000B51AE"/>
    <w:rsid w:val="000D5A06"/>
    <w:rsid w:val="000F060E"/>
    <w:rsid w:val="001209E6"/>
    <w:rsid w:val="00140948"/>
    <w:rsid w:val="00156128"/>
    <w:rsid w:val="001662B2"/>
    <w:rsid w:val="0018029C"/>
    <w:rsid w:val="0019426D"/>
    <w:rsid w:val="001B4683"/>
    <w:rsid w:val="001B69F8"/>
    <w:rsid w:val="001C7BD0"/>
    <w:rsid w:val="001E00A9"/>
    <w:rsid w:val="00202990"/>
    <w:rsid w:val="0020455E"/>
    <w:rsid w:val="00216752"/>
    <w:rsid w:val="00233751"/>
    <w:rsid w:val="00233949"/>
    <w:rsid w:val="002527E2"/>
    <w:rsid w:val="0025338C"/>
    <w:rsid w:val="002556B7"/>
    <w:rsid w:val="00255D7C"/>
    <w:rsid w:val="0026488B"/>
    <w:rsid w:val="00287C02"/>
    <w:rsid w:val="002B4DC2"/>
    <w:rsid w:val="002C1E4B"/>
    <w:rsid w:val="002C286C"/>
    <w:rsid w:val="002E3D7A"/>
    <w:rsid w:val="002F28B1"/>
    <w:rsid w:val="00302584"/>
    <w:rsid w:val="00302912"/>
    <w:rsid w:val="003128AD"/>
    <w:rsid w:val="003316C0"/>
    <w:rsid w:val="00384F15"/>
    <w:rsid w:val="00385A24"/>
    <w:rsid w:val="003922ED"/>
    <w:rsid w:val="003A012D"/>
    <w:rsid w:val="003A5506"/>
    <w:rsid w:val="003A5FCD"/>
    <w:rsid w:val="003B0B69"/>
    <w:rsid w:val="003B2A63"/>
    <w:rsid w:val="003E321C"/>
    <w:rsid w:val="003F7987"/>
    <w:rsid w:val="00412C04"/>
    <w:rsid w:val="00423572"/>
    <w:rsid w:val="00425811"/>
    <w:rsid w:val="00451201"/>
    <w:rsid w:val="00475B4D"/>
    <w:rsid w:val="00481216"/>
    <w:rsid w:val="00482F3E"/>
    <w:rsid w:val="004939BB"/>
    <w:rsid w:val="00495B42"/>
    <w:rsid w:val="004C258F"/>
    <w:rsid w:val="004C3A7E"/>
    <w:rsid w:val="005054F2"/>
    <w:rsid w:val="00514995"/>
    <w:rsid w:val="0053409E"/>
    <w:rsid w:val="00553784"/>
    <w:rsid w:val="005676D0"/>
    <w:rsid w:val="005752DC"/>
    <w:rsid w:val="0059019E"/>
    <w:rsid w:val="005964B3"/>
    <w:rsid w:val="00596788"/>
    <w:rsid w:val="005C7655"/>
    <w:rsid w:val="005E1B62"/>
    <w:rsid w:val="005E7F34"/>
    <w:rsid w:val="005F7F72"/>
    <w:rsid w:val="0064375B"/>
    <w:rsid w:val="00651A69"/>
    <w:rsid w:val="006569F7"/>
    <w:rsid w:val="00661FE7"/>
    <w:rsid w:val="00675196"/>
    <w:rsid w:val="006A5444"/>
    <w:rsid w:val="006B65F7"/>
    <w:rsid w:val="006E059E"/>
    <w:rsid w:val="006E5FCA"/>
    <w:rsid w:val="00701AA7"/>
    <w:rsid w:val="00703CCD"/>
    <w:rsid w:val="0072326B"/>
    <w:rsid w:val="00766088"/>
    <w:rsid w:val="007679FF"/>
    <w:rsid w:val="007715A4"/>
    <w:rsid w:val="00783063"/>
    <w:rsid w:val="0079410A"/>
    <w:rsid w:val="00794642"/>
    <w:rsid w:val="007A7DBA"/>
    <w:rsid w:val="007A7E9D"/>
    <w:rsid w:val="007B6F59"/>
    <w:rsid w:val="007C71CA"/>
    <w:rsid w:val="007D499C"/>
    <w:rsid w:val="007D6C98"/>
    <w:rsid w:val="007D72B6"/>
    <w:rsid w:val="007E2083"/>
    <w:rsid w:val="008017A4"/>
    <w:rsid w:val="0081625D"/>
    <w:rsid w:val="00816BD1"/>
    <w:rsid w:val="0082529E"/>
    <w:rsid w:val="00836739"/>
    <w:rsid w:val="00837BB2"/>
    <w:rsid w:val="0084201D"/>
    <w:rsid w:val="00851E56"/>
    <w:rsid w:val="0087750C"/>
    <w:rsid w:val="008D1D3F"/>
    <w:rsid w:val="008F2422"/>
    <w:rsid w:val="009057F1"/>
    <w:rsid w:val="00906E1A"/>
    <w:rsid w:val="009224AE"/>
    <w:rsid w:val="00934D3E"/>
    <w:rsid w:val="009557DD"/>
    <w:rsid w:val="00972D0D"/>
    <w:rsid w:val="00973314"/>
    <w:rsid w:val="0099339B"/>
    <w:rsid w:val="009B07B0"/>
    <w:rsid w:val="009B38D0"/>
    <w:rsid w:val="009E52B7"/>
    <w:rsid w:val="009E60F6"/>
    <w:rsid w:val="009E7605"/>
    <w:rsid w:val="009F41AF"/>
    <w:rsid w:val="00A23759"/>
    <w:rsid w:val="00A24AF6"/>
    <w:rsid w:val="00A2581E"/>
    <w:rsid w:val="00A47F9D"/>
    <w:rsid w:val="00A630AC"/>
    <w:rsid w:val="00A82152"/>
    <w:rsid w:val="00A84D9D"/>
    <w:rsid w:val="00A91B03"/>
    <w:rsid w:val="00AA11F6"/>
    <w:rsid w:val="00AA3B53"/>
    <w:rsid w:val="00AB3F03"/>
    <w:rsid w:val="00AE0022"/>
    <w:rsid w:val="00B02F97"/>
    <w:rsid w:val="00B11005"/>
    <w:rsid w:val="00B25D82"/>
    <w:rsid w:val="00B472E5"/>
    <w:rsid w:val="00B51DCA"/>
    <w:rsid w:val="00B524A0"/>
    <w:rsid w:val="00B55157"/>
    <w:rsid w:val="00B665B8"/>
    <w:rsid w:val="00B769C3"/>
    <w:rsid w:val="00B9253A"/>
    <w:rsid w:val="00B93AAA"/>
    <w:rsid w:val="00BA0345"/>
    <w:rsid w:val="00C063CF"/>
    <w:rsid w:val="00C41CCB"/>
    <w:rsid w:val="00C57DEF"/>
    <w:rsid w:val="00C62106"/>
    <w:rsid w:val="00C66A2E"/>
    <w:rsid w:val="00C74DC6"/>
    <w:rsid w:val="00C77568"/>
    <w:rsid w:val="00C90564"/>
    <w:rsid w:val="00C9556A"/>
    <w:rsid w:val="00CB379C"/>
    <w:rsid w:val="00CB6C91"/>
    <w:rsid w:val="00CD0126"/>
    <w:rsid w:val="00CE2A9E"/>
    <w:rsid w:val="00CE37A2"/>
    <w:rsid w:val="00D14C02"/>
    <w:rsid w:val="00D30DFE"/>
    <w:rsid w:val="00D74644"/>
    <w:rsid w:val="00D86181"/>
    <w:rsid w:val="00D86DF7"/>
    <w:rsid w:val="00D979C3"/>
    <w:rsid w:val="00DA141A"/>
    <w:rsid w:val="00DB2777"/>
    <w:rsid w:val="00DB724D"/>
    <w:rsid w:val="00DC62BC"/>
    <w:rsid w:val="00DD43FD"/>
    <w:rsid w:val="00DE7EC3"/>
    <w:rsid w:val="00DF33C0"/>
    <w:rsid w:val="00E51204"/>
    <w:rsid w:val="00E61E85"/>
    <w:rsid w:val="00E6458C"/>
    <w:rsid w:val="00E65562"/>
    <w:rsid w:val="00E6646A"/>
    <w:rsid w:val="00E67B4D"/>
    <w:rsid w:val="00E74D78"/>
    <w:rsid w:val="00E871B9"/>
    <w:rsid w:val="00E87AEB"/>
    <w:rsid w:val="00EB796C"/>
    <w:rsid w:val="00EC3577"/>
    <w:rsid w:val="00ED44A8"/>
    <w:rsid w:val="00EF33A0"/>
    <w:rsid w:val="00F02DC1"/>
    <w:rsid w:val="00F040F4"/>
    <w:rsid w:val="00F12335"/>
    <w:rsid w:val="00F268C0"/>
    <w:rsid w:val="00F35EB4"/>
    <w:rsid w:val="00F35EDF"/>
    <w:rsid w:val="00F43B64"/>
    <w:rsid w:val="00F44CAF"/>
    <w:rsid w:val="00F47161"/>
    <w:rsid w:val="00F50776"/>
    <w:rsid w:val="00F5540A"/>
    <w:rsid w:val="00F82158"/>
    <w:rsid w:val="00F83C33"/>
    <w:rsid w:val="00FA6F02"/>
    <w:rsid w:val="00FB51B4"/>
    <w:rsid w:val="00FC7BF6"/>
    <w:rsid w:val="00FF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AA"/>
    <w:pPr>
      <w:spacing w:after="200" w:line="276" w:lineRule="auto"/>
    </w:pPr>
    <w:rPr>
      <w:sz w:val="22"/>
      <w:szCs w:val="22"/>
      <w:lang w:val="ru-RU" w:eastAsia="en-US"/>
    </w:rPr>
  </w:style>
  <w:style w:type="paragraph" w:styleId="Titlu1">
    <w:name w:val="heading 1"/>
    <w:basedOn w:val="Normal"/>
    <w:next w:val="Normal"/>
    <w:link w:val="Titlu1Caracter"/>
    <w:qFormat/>
    <w:rsid w:val="00816BD1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b/>
      <w:i/>
      <w:iCs/>
      <w:sz w:val="28"/>
      <w:szCs w:val="24"/>
      <w:lang w:val="ro-RO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017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8017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8017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8017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0F0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B02F97"/>
    <w:pPr>
      <w:ind w:left="720"/>
      <w:contextualSpacing/>
    </w:pPr>
    <w:rPr>
      <w:rFonts w:ascii="Times New Roman" w:eastAsia="Times New Roman" w:hAnsi="Times New Roman"/>
      <w:szCs w:val="20"/>
      <w:lang w:eastAsia="ru-RU"/>
    </w:rPr>
  </w:style>
  <w:style w:type="character" w:customStyle="1" w:styleId="Titlu1Caracter">
    <w:name w:val="Titlu 1 Caracter"/>
    <w:link w:val="Titlu1"/>
    <w:rsid w:val="00816BD1"/>
    <w:rPr>
      <w:rFonts w:ascii="Times New Roman" w:eastAsia="Times New Roman" w:hAnsi="Times New Roman" w:cs="Times New Roman"/>
      <w:b/>
      <w:i/>
      <w:iCs/>
      <w:sz w:val="28"/>
      <w:szCs w:val="24"/>
      <w:lang w:val="ro-RO" w:eastAsia="ro-RO"/>
    </w:rPr>
  </w:style>
  <w:style w:type="paragraph" w:styleId="Corptext3">
    <w:name w:val="Body Text 3"/>
    <w:basedOn w:val="Normal"/>
    <w:link w:val="Corptext3Caracter"/>
    <w:rsid w:val="002C1E4B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Corptext3Caracter">
    <w:name w:val="Corp text 3 Caracter"/>
    <w:link w:val="Corptext3"/>
    <w:rsid w:val="002C1E4B"/>
    <w:rPr>
      <w:rFonts w:ascii="Times New Roman" w:eastAsia="Times New Roman" w:hAnsi="Times New Roman" w:cs="Times New Roman"/>
      <w:sz w:val="16"/>
      <w:szCs w:val="16"/>
    </w:rPr>
  </w:style>
  <w:style w:type="paragraph" w:styleId="Frspaiere">
    <w:name w:val="No Spacing"/>
    <w:uiPriority w:val="1"/>
    <w:qFormat/>
    <w:rsid w:val="008017A4"/>
    <w:rPr>
      <w:sz w:val="22"/>
      <w:szCs w:val="22"/>
      <w:lang w:val="ru-RU" w:eastAsia="en-US"/>
    </w:rPr>
  </w:style>
  <w:style w:type="character" w:customStyle="1" w:styleId="Titlu2Caracter">
    <w:name w:val="Titlu 2 Caracter"/>
    <w:link w:val="Titlu2"/>
    <w:uiPriority w:val="9"/>
    <w:rsid w:val="008017A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lu3Caracter">
    <w:name w:val="Titlu 3 Caracter"/>
    <w:link w:val="Titlu3"/>
    <w:uiPriority w:val="9"/>
    <w:rsid w:val="008017A4"/>
    <w:rPr>
      <w:rFonts w:ascii="Cambria" w:eastAsia="Times New Roman" w:hAnsi="Cambria" w:cs="Times New Roman"/>
      <w:b/>
      <w:bCs/>
      <w:color w:val="4F81BD"/>
    </w:rPr>
  </w:style>
  <w:style w:type="character" w:customStyle="1" w:styleId="Titlu4Caracter">
    <w:name w:val="Titlu 4 Caracter"/>
    <w:link w:val="Titlu4"/>
    <w:uiPriority w:val="9"/>
    <w:rsid w:val="008017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lu5Caracter">
    <w:name w:val="Titlu 5 Caracter"/>
    <w:link w:val="Titlu5"/>
    <w:uiPriority w:val="9"/>
    <w:rsid w:val="008017A4"/>
    <w:rPr>
      <w:rFonts w:ascii="Cambria" w:eastAsia="Times New Roman" w:hAnsi="Cambria" w:cs="Times New Roman"/>
      <w:color w:val="243F60"/>
    </w:rPr>
  </w:style>
  <w:style w:type="paragraph" w:styleId="Titlu">
    <w:name w:val="Title"/>
    <w:basedOn w:val="Normal"/>
    <w:next w:val="Normal"/>
    <w:link w:val="TitluCaracter"/>
    <w:uiPriority w:val="10"/>
    <w:qFormat/>
    <w:rsid w:val="008017A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uCaracter">
    <w:name w:val="Titlu Caracter"/>
    <w:link w:val="Titlu"/>
    <w:uiPriority w:val="10"/>
    <w:rsid w:val="008017A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centuaresubtil">
    <w:name w:val="Subtle Emphasis"/>
    <w:uiPriority w:val="19"/>
    <w:qFormat/>
    <w:rsid w:val="008017A4"/>
    <w:rPr>
      <w:i/>
      <w:iCs/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63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630AC"/>
  </w:style>
  <w:style w:type="paragraph" w:styleId="Subsol">
    <w:name w:val="footer"/>
    <w:basedOn w:val="Normal"/>
    <w:link w:val="SubsolCaracter"/>
    <w:uiPriority w:val="99"/>
    <w:unhideWhenUsed/>
    <w:rsid w:val="00A63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630AC"/>
  </w:style>
  <w:style w:type="character" w:styleId="Titlulcrii">
    <w:name w:val="Book Title"/>
    <w:uiPriority w:val="33"/>
    <w:qFormat/>
    <w:rsid w:val="00302584"/>
    <w:rPr>
      <w:b/>
      <w:bCs/>
      <w:i/>
      <w:iCs/>
      <w:spacing w:val="5"/>
    </w:rPr>
  </w:style>
  <w:style w:type="character" w:styleId="Referincomentariu">
    <w:name w:val="annotation reference"/>
    <w:uiPriority w:val="99"/>
    <w:semiHidden/>
    <w:unhideWhenUsed/>
    <w:rsid w:val="00934D3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34D3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34D3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34D3E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34D3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85A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1032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2023-04-11T09:45:00Z</cp:lastPrinted>
  <dcterms:created xsi:type="dcterms:W3CDTF">2024-07-02T12:06:00Z</dcterms:created>
  <dcterms:modified xsi:type="dcterms:W3CDTF">2024-07-02T12:06:00Z</dcterms:modified>
</cp:coreProperties>
</file>